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A6B09" w14:textId="77777777" w:rsidR="00A74073" w:rsidRDefault="00000000">
      <w:pPr>
        <w:spacing w:after="314" w:line="259" w:lineRule="auto"/>
        <w:ind w:left="1918" w:firstLine="0"/>
        <w:jc w:val="center"/>
      </w:pPr>
      <w:r>
        <w:rPr>
          <w:rFonts w:ascii="Times New Roman" w:eastAsia="Times New Roman" w:hAnsi="Times New Roman" w:cs="Times New Roman"/>
        </w:rPr>
        <w:t xml:space="preserve"> </w:t>
      </w:r>
    </w:p>
    <w:p w14:paraId="33991D20" w14:textId="77777777" w:rsidR="00A74073" w:rsidRDefault="00000000">
      <w:pPr>
        <w:spacing w:after="0" w:line="259" w:lineRule="auto"/>
        <w:ind w:left="373" w:firstLine="0"/>
      </w:pPr>
      <w:r>
        <w:rPr>
          <w:b/>
          <w:sz w:val="42"/>
        </w:rPr>
        <w:t xml:space="preserve">Culinary Arts - Menu Template Requirements </w:t>
      </w:r>
    </w:p>
    <w:p w14:paraId="13FF1AD6" w14:textId="77777777" w:rsidR="00A74073" w:rsidRDefault="00000000">
      <w:pPr>
        <w:spacing w:after="0"/>
        <w:ind w:left="0" w:firstLine="0"/>
      </w:pPr>
      <w:r>
        <w:t xml:space="preserve">To ensure continuity and that the judges are evaluating courses on a level basis, the following guidelines must be followed for all Menu submissions: </w:t>
      </w:r>
    </w:p>
    <w:p w14:paraId="3CB53EC9" w14:textId="77777777" w:rsidR="00A74073" w:rsidRDefault="00000000">
      <w:pPr>
        <w:spacing w:after="0" w:line="259" w:lineRule="auto"/>
        <w:ind w:left="0" w:firstLine="0"/>
      </w:pPr>
      <w:r>
        <w:t xml:space="preserve"> </w:t>
      </w:r>
    </w:p>
    <w:p w14:paraId="103683F5" w14:textId="77777777" w:rsidR="00A74073" w:rsidRDefault="00000000">
      <w:pPr>
        <w:numPr>
          <w:ilvl w:val="0"/>
          <w:numId w:val="1"/>
        </w:numPr>
        <w:ind w:hanging="357"/>
      </w:pPr>
      <w:r>
        <w:t xml:space="preserve">Menu must be completed using the Menu Templates provided by the Technical Committee. </w:t>
      </w:r>
    </w:p>
    <w:p w14:paraId="167106CD" w14:textId="77777777" w:rsidR="00A74073" w:rsidRDefault="00000000">
      <w:pPr>
        <w:numPr>
          <w:ilvl w:val="0"/>
          <w:numId w:val="1"/>
        </w:numPr>
        <w:ind w:hanging="357"/>
      </w:pPr>
      <w:r>
        <w:t xml:space="preserve">No other forms of menu submission will be accepted. </w:t>
      </w:r>
    </w:p>
    <w:p w14:paraId="091EB42D" w14:textId="77777777" w:rsidR="00A74073" w:rsidRDefault="00000000">
      <w:pPr>
        <w:numPr>
          <w:ilvl w:val="0"/>
          <w:numId w:val="1"/>
        </w:numPr>
        <w:ind w:hanging="357"/>
      </w:pPr>
      <w:r>
        <w:t xml:space="preserve">Competitor must </w:t>
      </w:r>
      <w:r>
        <w:rPr>
          <w:b/>
        </w:rPr>
        <w:t xml:space="preserve">not </w:t>
      </w:r>
      <w:r>
        <w:t xml:space="preserve">be identified in any way on the menu; no names, schools, school boards, station numbers, logos, etc. can appear on the submitted menu. </w:t>
      </w:r>
    </w:p>
    <w:p w14:paraId="79F2E3AF" w14:textId="77777777" w:rsidR="00A74073" w:rsidRDefault="00000000">
      <w:pPr>
        <w:numPr>
          <w:ilvl w:val="0"/>
          <w:numId w:val="1"/>
        </w:numPr>
        <w:ind w:hanging="357"/>
      </w:pPr>
      <w:r>
        <w:t>The “</w:t>
      </w:r>
      <w:r>
        <w:rPr>
          <w:b/>
          <w:i/>
        </w:rPr>
        <w:t>Descriptive Menu”</w:t>
      </w:r>
      <w:r>
        <w:rPr>
          <w:i/>
        </w:rPr>
        <w:t xml:space="preserve"> </w:t>
      </w:r>
      <w:r>
        <w:t>and “</w:t>
      </w:r>
      <w:r>
        <w:rPr>
          <w:b/>
          <w:i/>
        </w:rPr>
        <w:t>Menu Elements”</w:t>
      </w:r>
      <w:r>
        <w:t xml:space="preserve"> must be handwritten in English and must be legible for the judges to interpret.  </w:t>
      </w:r>
    </w:p>
    <w:p w14:paraId="76159965" w14:textId="77777777" w:rsidR="00A74073" w:rsidRDefault="00000000">
      <w:pPr>
        <w:numPr>
          <w:ilvl w:val="0"/>
          <w:numId w:val="1"/>
        </w:numPr>
        <w:spacing w:after="65"/>
        <w:ind w:hanging="357"/>
      </w:pPr>
      <w:r>
        <w:t>The “</w:t>
      </w:r>
      <w:r>
        <w:rPr>
          <w:b/>
          <w:i/>
        </w:rPr>
        <w:t>Descriptive Menu”</w:t>
      </w:r>
      <w:r>
        <w:t xml:space="preserve"> must include all courses  </w:t>
      </w:r>
    </w:p>
    <w:p w14:paraId="35AABC64" w14:textId="77777777" w:rsidR="00A74073" w:rsidRDefault="00000000">
      <w:pPr>
        <w:numPr>
          <w:ilvl w:val="1"/>
          <w:numId w:val="1"/>
        </w:numPr>
        <w:spacing w:after="60"/>
        <w:ind w:hanging="360"/>
      </w:pPr>
      <w:r>
        <w:t xml:space="preserve">Two (2) menus for Secondary Competitors (1 set for each module) </w:t>
      </w:r>
    </w:p>
    <w:p w14:paraId="720A162D" w14:textId="77777777" w:rsidR="00A74073" w:rsidRDefault="00000000">
      <w:pPr>
        <w:numPr>
          <w:ilvl w:val="1"/>
          <w:numId w:val="1"/>
        </w:numPr>
        <w:ind w:hanging="360"/>
      </w:pPr>
      <w:r>
        <w:t xml:space="preserve">Two (2) menus for Post-Secondary Competitors (1 set for each module). </w:t>
      </w:r>
    </w:p>
    <w:p w14:paraId="0801B1FD" w14:textId="77777777" w:rsidR="00A74073" w:rsidRDefault="00000000">
      <w:pPr>
        <w:numPr>
          <w:ilvl w:val="0"/>
          <w:numId w:val="1"/>
        </w:numPr>
        <w:ind w:hanging="357"/>
      </w:pPr>
      <w:r>
        <w:rPr>
          <w:noProof/>
        </w:rPr>
        <w:drawing>
          <wp:anchor distT="0" distB="0" distL="114300" distR="114300" simplePos="0" relativeHeight="251658240" behindDoc="0" locked="0" layoutInCell="1" allowOverlap="0" wp14:anchorId="28C174A5" wp14:editId="20A4B349">
            <wp:simplePos x="0" y="0"/>
            <wp:positionH relativeFrom="page">
              <wp:posOffset>3295334</wp:posOffset>
            </wp:positionH>
            <wp:positionV relativeFrom="page">
              <wp:posOffset>180339</wp:posOffset>
            </wp:positionV>
            <wp:extent cx="1181667" cy="726440"/>
            <wp:effectExtent l="0" t="0" r="0" b="0"/>
            <wp:wrapTopAndBottom/>
            <wp:docPr id="16" name="Picture 16"/>
            <wp:cNvGraphicFramePr/>
            <a:graphic xmlns:a="http://schemas.openxmlformats.org/drawingml/2006/main">
              <a:graphicData uri="http://schemas.openxmlformats.org/drawingml/2006/picture">
                <pic:pic xmlns:pic="http://schemas.openxmlformats.org/drawingml/2006/picture">
                  <pic:nvPicPr>
                    <pic:cNvPr id="16" name="Picture 16"/>
                    <pic:cNvPicPr/>
                  </pic:nvPicPr>
                  <pic:blipFill>
                    <a:blip r:embed="rId5"/>
                    <a:stretch>
                      <a:fillRect/>
                    </a:stretch>
                  </pic:blipFill>
                  <pic:spPr>
                    <a:xfrm>
                      <a:off x="0" y="0"/>
                      <a:ext cx="1181667" cy="726440"/>
                    </a:xfrm>
                    <a:prstGeom prst="rect">
                      <a:avLst/>
                    </a:prstGeom>
                  </pic:spPr>
                </pic:pic>
              </a:graphicData>
            </a:graphic>
          </wp:anchor>
        </w:drawing>
      </w:r>
      <w:r>
        <w:t>Two (2) copies of your “</w:t>
      </w:r>
      <w:r>
        <w:rPr>
          <w:b/>
          <w:i/>
        </w:rPr>
        <w:t>Descriptive Menu</w:t>
      </w:r>
      <w:r>
        <w:t>” and your “</w:t>
      </w:r>
      <w:r>
        <w:rPr>
          <w:b/>
          <w:i/>
        </w:rPr>
        <w:t>Menu Elements</w:t>
      </w:r>
      <w:r>
        <w:t xml:space="preserve">” must be submitted within the timeframes specified in the test project. </w:t>
      </w:r>
    </w:p>
    <w:p w14:paraId="4415F148" w14:textId="77777777" w:rsidR="00A74073" w:rsidRDefault="00000000">
      <w:pPr>
        <w:numPr>
          <w:ilvl w:val="0"/>
          <w:numId w:val="1"/>
        </w:numPr>
        <w:ind w:hanging="357"/>
      </w:pPr>
      <w:r>
        <w:t>The “</w:t>
      </w:r>
      <w:r>
        <w:rPr>
          <w:b/>
          <w:i/>
        </w:rPr>
        <w:t>Descriptive Menu</w:t>
      </w:r>
      <w:r>
        <w:t>” and “</w:t>
      </w:r>
      <w:r>
        <w:rPr>
          <w:b/>
          <w:i/>
        </w:rPr>
        <w:t>Menu Elements</w:t>
      </w:r>
      <w:r>
        <w:t xml:space="preserve">” templates may not exceed 1 page each (two pages total). </w:t>
      </w:r>
    </w:p>
    <w:p w14:paraId="18D61DBE" w14:textId="77777777" w:rsidR="00A74073" w:rsidRDefault="00000000">
      <w:pPr>
        <w:numPr>
          <w:ilvl w:val="0"/>
          <w:numId w:val="1"/>
        </w:numPr>
        <w:ind w:hanging="357"/>
      </w:pPr>
      <w:r>
        <w:t>The “</w:t>
      </w:r>
      <w:r>
        <w:rPr>
          <w:b/>
          <w:i/>
        </w:rPr>
        <w:t>Descriptive Menu</w:t>
      </w:r>
      <w:r>
        <w:t xml:space="preserve">” must be written with correct spelling, </w:t>
      </w:r>
      <w:proofErr w:type="gramStart"/>
      <w:r>
        <w:t>phrasing</w:t>
      </w:r>
      <w:proofErr w:type="gramEnd"/>
      <w:r>
        <w:t xml:space="preserve"> and appropriate terminology to describe your menu to the customers.  </w:t>
      </w:r>
    </w:p>
    <w:p w14:paraId="693FB98B" w14:textId="77777777" w:rsidR="00A74073" w:rsidRDefault="00000000">
      <w:pPr>
        <w:numPr>
          <w:ilvl w:val="0"/>
          <w:numId w:val="1"/>
        </w:numPr>
        <w:ind w:hanging="357"/>
      </w:pPr>
      <w:r>
        <w:t>The “</w:t>
      </w:r>
      <w:r>
        <w:rPr>
          <w:b/>
          <w:i/>
        </w:rPr>
        <w:t>Menu Elements</w:t>
      </w:r>
      <w:r>
        <w:t>” form must accompany the “</w:t>
      </w:r>
      <w:r>
        <w:rPr>
          <w:b/>
          <w:i/>
        </w:rPr>
        <w:t>Descriptive Menu</w:t>
      </w:r>
      <w:r>
        <w:t>”. All items that appear on the plates must be specified in the “</w:t>
      </w:r>
      <w:r>
        <w:rPr>
          <w:b/>
          <w:i/>
        </w:rPr>
        <w:t>Menu Elements</w:t>
      </w:r>
      <w:r>
        <w:t xml:space="preserve">”. </w:t>
      </w:r>
      <w:r>
        <w:rPr>
          <w:b/>
        </w:rPr>
        <w:t xml:space="preserve"> </w:t>
      </w:r>
    </w:p>
    <w:p w14:paraId="4CBDFA30" w14:textId="77777777" w:rsidR="00A74073" w:rsidRDefault="00000000">
      <w:pPr>
        <w:spacing w:after="56" w:line="259" w:lineRule="auto"/>
        <w:ind w:left="714" w:firstLine="0"/>
      </w:pPr>
      <w:r>
        <w:rPr>
          <w:b/>
          <w:u w:val="single" w:color="000000"/>
        </w:rPr>
        <w:t>Note:</w:t>
      </w:r>
      <w:r>
        <w:t xml:space="preserve">  </w:t>
      </w:r>
    </w:p>
    <w:p w14:paraId="2F33E479" w14:textId="77777777" w:rsidR="00A74073" w:rsidRDefault="00000000">
      <w:pPr>
        <w:numPr>
          <w:ilvl w:val="1"/>
          <w:numId w:val="2"/>
        </w:numPr>
        <w:spacing w:after="0" w:line="240" w:lineRule="auto"/>
        <w:ind w:hanging="359"/>
      </w:pPr>
      <w:r>
        <w:rPr>
          <w:b/>
        </w:rPr>
        <w:t>Any items served on the plate that are not specified in the “</w:t>
      </w:r>
      <w:r>
        <w:rPr>
          <w:b/>
          <w:i/>
        </w:rPr>
        <w:t>Menu Elements</w:t>
      </w:r>
      <w:r>
        <w:rPr>
          <w:b/>
        </w:rPr>
        <w:t>” will not be evaluated.</w:t>
      </w:r>
      <w:r>
        <w:t xml:space="preserve">  </w:t>
      </w:r>
    </w:p>
    <w:p w14:paraId="786729F4" w14:textId="22EDE9D7" w:rsidR="00A74073" w:rsidRDefault="00000000" w:rsidP="00016382">
      <w:pPr>
        <w:numPr>
          <w:ilvl w:val="1"/>
          <w:numId w:val="2"/>
        </w:numPr>
        <w:spacing w:after="115"/>
        <w:ind w:hanging="359"/>
      </w:pPr>
      <w:r>
        <w:t xml:space="preserve">The descriptive menu templates will be formatted for landscape presentation. Please do not change the formatting as the committee will be providing sign holders for the competitor’s menu for public display. </w:t>
      </w:r>
    </w:p>
    <w:sectPr w:rsidR="00A74073">
      <w:pgSz w:w="12240" w:h="15840"/>
      <w:pgMar w:top="1440" w:right="1020" w:bottom="1440" w:left="102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A3469"/>
    <w:multiLevelType w:val="hybridMultilevel"/>
    <w:tmpl w:val="BC0A51CC"/>
    <w:lvl w:ilvl="0" w:tplc="90629A56">
      <w:start w:val="1"/>
      <w:numFmt w:val="decimal"/>
      <w:lvlText w:val="%1."/>
      <w:lvlJc w:val="left"/>
      <w:pPr>
        <w:ind w:left="699"/>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1" w:tplc="73923BEC">
      <w:start w:val="1"/>
      <w:numFmt w:val="lowerLetter"/>
      <w:lvlText w:val="%2."/>
      <w:lvlJc w:val="left"/>
      <w:pPr>
        <w:ind w:left="144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2" w:tplc="591C0FB0">
      <w:start w:val="1"/>
      <w:numFmt w:val="lowerRoman"/>
      <w:lvlText w:val="%3"/>
      <w:lvlJc w:val="left"/>
      <w:pPr>
        <w:ind w:left="216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3" w:tplc="2CEA58AE">
      <w:start w:val="1"/>
      <w:numFmt w:val="decimal"/>
      <w:lvlText w:val="%4"/>
      <w:lvlJc w:val="left"/>
      <w:pPr>
        <w:ind w:left="288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4" w:tplc="8CA64E14">
      <w:start w:val="1"/>
      <w:numFmt w:val="lowerLetter"/>
      <w:lvlText w:val="%5"/>
      <w:lvlJc w:val="left"/>
      <w:pPr>
        <w:ind w:left="360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5" w:tplc="E3CCA284">
      <w:start w:val="1"/>
      <w:numFmt w:val="lowerRoman"/>
      <w:lvlText w:val="%6"/>
      <w:lvlJc w:val="left"/>
      <w:pPr>
        <w:ind w:left="432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6" w:tplc="21ECE34C">
      <w:start w:val="1"/>
      <w:numFmt w:val="decimal"/>
      <w:lvlText w:val="%7"/>
      <w:lvlJc w:val="left"/>
      <w:pPr>
        <w:ind w:left="504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7" w:tplc="6E76278E">
      <w:start w:val="1"/>
      <w:numFmt w:val="lowerLetter"/>
      <w:lvlText w:val="%8"/>
      <w:lvlJc w:val="left"/>
      <w:pPr>
        <w:ind w:left="576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lvl w:ilvl="8" w:tplc="CAF0D51E">
      <w:start w:val="1"/>
      <w:numFmt w:val="lowerRoman"/>
      <w:lvlText w:val="%9"/>
      <w:lvlJc w:val="left"/>
      <w:pPr>
        <w:ind w:left="6480"/>
      </w:pPr>
      <w:rPr>
        <w:rFonts w:ascii="Open Sans" w:eastAsia="Open Sans" w:hAnsi="Open Sans" w:cs="Open San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AD461B7"/>
    <w:multiLevelType w:val="hybridMultilevel"/>
    <w:tmpl w:val="DEA6372C"/>
    <w:lvl w:ilvl="0" w:tplc="EB68A1D6">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C4280F0">
      <w:start w:val="1"/>
      <w:numFmt w:val="bullet"/>
      <w:lvlText w:val="•"/>
      <w:lvlJc w:val="left"/>
      <w:pPr>
        <w:ind w:left="14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3C290FA">
      <w:start w:val="1"/>
      <w:numFmt w:val="bullet"/>
      <w:lvlText w:val="▪"/>
      <w:lvlJc w:val="left"/>
      <w:pPr>
        <w:ind w:left="21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4AE42C2">
      <w:start w:val="1"/>
      <w:numFmt w:val="bullet"/>
      <w:lvlText w:val="•"/>
      <w:lvlJc w:val="left"/>
      <w:pPr>
        <w:ind w:left="28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F3AD16C">
      <w:start w:val="1"/>
      <w:numFmt w:val="bullet"/>
      <w:lvlText w:val="o"/>
      <w:lvlJc w:val="left"/>
      <w:pPr>
        <w:ind w:left="359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0D4FE18">
      <w:start w:val="1"/>
      <w:numFmt w:val="bullet"/>
      <w:lvlText w:val="▪"/>
      <w:lvlJc w:val="left"/>
      <w:pPr>
        <w:ind w:left="43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4EFC28">
      <w:start w:val="1"/>
      <w:numFmt w:val="bullet"/>
      <w:lvlText w:val="•"/>
      <w:lvlJc w:val="left"/>
      <w:pPr>
        <w:ind w:left="50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F0A318">
      <w:start w:val="1"/>
      <w:numFmt w:val="bullet"/>
      <w:lvlText w:val="o"/>
      <w:lvlJc w:val="left"/>
      <w:pPr>
        <w:ind w:left="57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3D066904">
      <w:start w:val="1"/>
      <w:numFmt w:val="bullet"/>
      <w:lvlText w:val="▪"/>
      <w:lvlJc w:val="left"/>
      <w:pPr>
        <w:ind w:left="64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165562784">
    <w:abstractNumId w:val="0"/>
  </w:num>
  <w:num w:numId="2" w16cid:durableId="5284474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073"/>
    <w:rsid w:val="00016382"/>
    <w:rsid w:val="00A7407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08EAF77"/>
  <w15:docId w15:val="{2B0BE9A6-C71C-6247-9CAB-0D9EE97E5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C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30" w:line="249" w:lineRule="auto"/>
      <w:ind w:left="367" w:hanging="367"/>
    </w:pPr>
    <w:rPr>
      <w:rFonts w:ascii="Open Sans" w:eastAsia="Open Sans" w:hAnsi="Open Sans" w:cs="Open San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Lie</dc:creator>
  <cp:keywords/>
  <cp:lastModifiedBy>Phillip Lie</cp:lastModifiedBy>
  <cp:revision>2</cp:revision>
  <dcterms:created xsi:type="dcterms:W3CDTF">2025-11-20T18:32:00Z</dcterms:created>
  <dcterms:modified xsi:type="dcterms:W3CDTF">2025-11-20T18:32:00Z</dcterms:modified>
</cp:coreProperties>
</file>